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CD5" w:rsidRPr="00544CD5" w:rsidRDefault="00A15C25" w:rsidP="00544CD5">
      <w:pPr>
        <w:pStyle w:val="berschrift1"/>
        <w:rPr>
          <w:noProof/>
        </w:rPr>
      </w:pPr>
      <w:r>
        <w:rPr>
          <w:noProof/>
        </w:rPr>
        <w:t>Kapazitive Sensoren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65"/>
        <w:gridCol w:w="2959"/>
      </w:tblGrid>
      <w:tr w:rsidR="000A420D" w:rsidTr="000A420D">
        <w:tc>
          <w:tcPr>
            <w:tcW w:w="6365" w:type="dxa"/>
          </w:tcPr>
          <w:p w:rsidR="000A420D" w:rsidRDefault="000A420D" w:rsidP="00544CD5">
            <w:pPr>
              <w:jc w:val="left"/>
              <w:rPr>
                <w:rFonts w:asciiTheme="majorHAnsi" w:hAnsiTheme="majorHAnsi"/>
                <w:noProof/>
              </w:rPr>
            </w:pPr>
            <w:r w:rsidRPr="00544CD5">
              <w:rPr>
                <w:rFonts w:asciiTheme="majorHAnsi" w:hAnsiTheme="majorHAnsi"/>
                <w:noProof/>
              </w:rPr>
              <w:t>Bei einer Vielzahl von Geräten sind mechanische Tasten problematisch. Gründe können die fehlende Dichtigkeit gegenüber Staub, Wasser bzw. hoher Luftfeuchtigkeit sein. Ebenso ist ein geforderter Explosionschutz nur mit hohem Aufwand realisierbar. Bei einigen Anwendungen sind Bohrungen und Durchbrüche nicht möglich (z. B. Bedienung durch Schaufensterscheiben hindurch). Auch lassen sich herkömmliche Tastaturen nur mit hohem Aufwand vandalensicher realisieren. Kapazitive Taster und Tastenfelder sind hier eine optimale Alternative. Für solche Anwendungen sind geeignete Schaltkreise (ICs) verfügbar. Je nach Einstellung der Schaltungsparameter sind die ICs auch als Näherungsschalter einsetzbar.</w:t>
            </w:r>
          </w:p>
        </w:tc>
        <w:tc>
          <w:tcPr>
            <w:tcW w:w="2959" w:type="dxa"/>
          </w:tcPr>
          <w:p w:rsidR="000A420D" w:rsidRDefault="000A420D" w:rsidP="00544CD5">
            <w:pPr>
              <w:jc w:val="left"/>
              <w:rPr>
                <w:rFonts w:asciiTheme="majorHAnsi" w:hAnsiTheme="majorHAnsi"/>
                <w:noProof/>
              </w:rPr>
            </w:pPr>
            <w:r w:rsidRPr="00544CD5">
              <w:rPr>
                <w:rFonts w:asciiTheme="majorHAnsi" w:hAnsiTheme="majorHAnsi"/>
                <w:noProof/>
                <w:lang w:val="de-DE" w:eastAsia="de-DE"/>
              </w:rPr>
              <w:drawing>
                <wp:inline distT="0" distB="0" distL="0" distR="0" wp14:anchorId="2997D266" wp14:editId="406F616E">
                  <wp:extent cx="1764000" cy="1735200"/>
                  <wp:effectExtent l="0" t="0" r="0" b="0"/>
                  <wp:docPr id="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4000" cy="1735200"/>
                          </a:xfrm>
                          <a:prstGeom prst="rect">
                            <a:avLst/>
                          </a:prstGeom>
                          <a:noFill/>
                          <a:ln w="9525">
                            <a:noFill/>
                            <a:miter lim="800000"/>
                            <a:headEnd/>
                            <a:tailEnd/>
                          </a:ln>
                        </pic:spPr>
                      </pic:pic>
                    </a:graphicData>
                  </a:graphic>
                </wp:inline>
              </w:drawing>
            </w:r>
          </w:p>
        </w:tc>
      </w:tr>
    </w:tbl>
    <w:p w:rsidR="00544CD5" w:rsidRPr="00544CD5" w:rsidRDefault="00544CD5" w:rsidP="00544CD5">
      <w:pPr>
        <w:rPr>
          <w:rFonts w:asciiTheme="majorHAnsi" w:hAnsiTheme="majorHAnsi"/>
          <w:noProof/>
        </w:rPr>
      </w:pPr>
    </w:p>
    <w:p w:rsidR="00544CD5" w:rsidRPr="00544CD5" w:rsidRDefault="00544CD5" w:rsidP="00544CD5">
      <w:pPr>
        <w:rPr>
          <w:rFonts w:asciiTheme="majorHAnsi" w:hAnsiTheme="majorHAnsi"/>
          <w:noProof/>
        </w:rPr>
      </w:pPr>
      <w:r w:rsidRPr="00544CD5">
        <w:rPr>
          <w:rFonts w:asciiTheme="majorHAnsi" w:hAnsiTheme="majorHAnsi"/>
          <w:b/>
          <w:bCs/>
          <w:noProof/>
        </w:rPr>
        <w:t>Anwe</w:t>
      </w:r>
      <w:r w:rsidR="008A5DEF">
        <w:rPr>
          <w:rFonts w:asciiTheme="majorHAnsi" w:hAnsiTheme="majorHAnsi"/>
          <w:b/>
          <w:bCs/>
          <w:noProof/>
        </w:rPr>
        <w:t>n</w:t>
      </w:r>
      <w:r w:rsidRPr="00544CD5">
        <w:rPr>
          <w:rFonts w:asciiTheme="majorHAnsi" w:hAnsiTheme="majorHAnsi"/>
          <w:b/>
          <w:bCs/>
          <w:noProof/>
        </w:rPr>
        <w:t>dungen:</w:t>
      </w:r>
    </w:p>
    <w:p w:rsidR="00544CD5" w:rsidRPr="00544CD5" w:rsidRDefault="00544CD5" w:rsidP="008F26B5">
      <w:pPr>
        <w:numPr>
          <w:ilvl w:val="0"/>
          <w:numId w:val="5"/>
        </w:numPr>
        <w:tabs>
          <w:tab w:val="clear" w:pos="720"/>
          <w:tab w:val="num" w:pos="426"/>
        </w:tabs>
        <w:ind w:left="426" w:hanging="426"/>
        <w:jc w:val="left"/>
        <w:rPr>
          <w:rFonts w:asciiTheme="majorHAnsi" w:hAnsiTheme="majorHAnsi"/>
          <w:bCs/>
          <w:noProof/>
        </w:rPr>
      </w:pPr>
      <w:r w:rsidRPr="00544CD5">
        <w:rPr>
          <w:rFonts w:asciiTheme="majorHAnsi" w:hAnsiTheme="majorHAnsi"/>
          <w:bCs/>
          <w:noProof/>
        </w:rPr>
        <w:t>wasser- und staubdichte Berührungstaster mit hohem Schutzgrad</w:t>
      </w:r>
    </w:p>
    <w:p w:rsidR="00544CD5" w:rsidRPr="00544CD5" w:rsidRDefault="00544CD5" w:rsidP="008F26B5">
      <w:pPr>
        <w:numPr>
          <w:ilvl w:val="0"/>
          <w:numId w:val="5"/>
        </w:numPr>
        <w:tabs>
          <w:tab w:val="clear" w:pos="720"/>
          <w:tab w:val="num" w:pos="426"/>
        </w:tabs>
        <w:ind w:left="426" w:hanging="426"/>
        <w:jc w:val="left"/>
        <w:rPr>
          <w:rFonts w:asciiTheme="majorHAnsi" w:hAnsiTheme="majorHAnsi"/>
          <w:bCs/>
          <w:noProof/>
        </w:rPr>
      </w:pPr>
      <w:r w:rsidRPr="00544CD5">
        <w:rPr>
          <w:rFonts w:asciiTheme="majorHAnsi" w:hAnsiTheme="majorHAnsi"/>
          <w:bCs/>
          <w:noProof/>
        </w:rPr>
        <w:t>vandalensichere Tastaturen</w:t>
      </w:r>
    </w:p>
    <w:p w:rsidR="00544CD5" w:rsidRPr="00544CD5" w:rsidRDefault="00544CD5" w:rsidP="008F26B5">
      <w:pPr>
        <w:numPr>
          <w:ilvl w:val="0"/>
          <w:numId w:val="5"/>
        </w:numPr>
        <w:tabs>
          <w:tab w:val="clear" w:pos="720"/>
          <w:tab w:val="num" w:pos="426"/>
        </w:tabs>
        <w:ind w:left="426" w:hanging="426"/>
        <w:jc w:val="left"/>
        <w:rPr>
          <w:rFonts w:asciiTheme="majorHAnsi" w:hAnsiTheme="majorHAnsi"/>
          <w:bCs/>
          <w:noProof/>
        </w:rPr>
      </w:pPr>
      <w:r w:rsidRPr="00544CD5">
        <w:rPr>
          <w:rFonts w:asciiTheme="majorHAnsi" w:hAnsiTheme="majorHAnsi"/>
          <w:bCs/>
          <w:noProof/>
        </w:rPr>
        <w:t>Alarmanlagen</w:t>
      </w:r>
    </w:p>
    <w:p w:rsidR="00544CD5" w:rsidRPr="00544CD5" w:rsidRDefault="00544CD5" w:rsidP="008F26B5">
      <w:pPr>
        <w:numPr>
          <w:ilvl w:val="0"/>
          <w:numId w:val="5"/>
        </w:numPr>
        <w:tabs>
          <w:tab w:val="clear" w:pos="720"/>
          <w:tab w:val="num" w:pos="426"/>
        </w:tabs>
        <w:ind w:left="426" w:hanging="426"/>
        <w:jc w:val="left"/>
        <w:rPr>
          <w:rFonts w:asciiTheme="majorHAnsi" w:hAnsiTheme="majorHAnsi"/>
          <w:bCs/>
          <w:noProof/>
        </w:rPr>
      </w:pPr>
      <w:r w:rsidRPr="00544CD5">
        <w:rPr>
          <w:rFonts w:asciiTheme="majorHAnsi" w:hAnsiTheme="majorHAnsi"/>
          <w:bCs/>
          <w:noProof/>
        </w:rPr>
        <w:t>Näherungsschalter</w:t>
      </w:r>
    </w:p>
    <w:p w:rsidR="00544CD5" w:rsidRPr="00544CD5" w:rsidRDefault="00544CD5" w:rsidP="008F26B5">
      <w:pPr>
        <w:numPr>
          <w:ilvl w:val="0"/>
          <w:numId w:val="5"/>
        </w:numPr>
        <w:tabs>
          <w:tab w:val="clear" w:pos="720"/>
          <w:tab w:val="num" w:pos="426"/>
        </w:tabs>
        <w:ind w:left="426" w:hanging="426"/>
        <w:jc w:val="left"/>
        <w:rPr>
          <w:rFonts w:asciiTheme="majorHAnsi" w:hAnsiTheme="majorHAnsi"/>
          <w:bCs/>
          <w:noProof/>
        </w:rPr>
      </w:pPr>
      <w:r w:rsidRPr="00544CD5">
        <w:rPr>
          <w:rFonts w:asciiTheme="majorHAnsi" w:hAnsiTheme="majorHAnsi"/>
          <w:bCs/>
          <w:noProof/>
        </w:rPr>
        <w:t>Füllstandsüberwachung</w:t>
      </w:r>
    </w:p>
    <w:p w:rsidR="00544CD5" w:rsidRPr="00C145B9" w:rsidRDefault="00C119FA" w:rsidP="008F26B5">
      <w:pPr>
        <w:numPr>
          <w:ilvl w:val="0"/>
          <w:numId w:val="5"/>
        </w:numPr>
        <w:tabs>
          <w:tab w:val="clear" w:pos="720"/>
          <w:tab w:val="num" w:pos="426"/>
        </w:tabs>
        <w:ind w:left="426" w:hanging="426"/>
        <w:jc w:val="left"/>
        <w:rPr>
          <w:rFonts w:asciiTheme="majorHAnsi" w:hAnsiTheme="majorHAnsi"/>
          <w:noProof/>
        </w:rPr>
      </w:pPr>
      <w:r>
        <w:rPr>
          <w:rFonts w:asciiTheme="majorHAnsi" w:hAnsiTheme="majorHAnsi"/>
          <w:bCs/>
          <w:noProof/>
        </w:rPr>
        <w:t>Spielzeug</w:t>
      </w:r>
      <w:bookmarkStart w:id="0" w:name="_GoBack"/>
      <w:bookmarkEnd w:id="0"/>
    </w:p>
    <w:p w:rsidR="00544CD5" w:rsidRDefault="00544CD5" w:rsidP="00544CD5"/>
    <w:p w:rsidR="008A5DEF" w:rsidRDefault="008A5DEF">
      <w:pPr>
        <w:spacing w:line="480" w:lineRule="auto"/>
        <w:ind w:left="284" w:right="249"/>
        <w:rPr>
          <w:rFonts w:asciiTheme="majorHAnsi" w:eastAsiaTheme="majorEastAsia" w:hAnsiTheme="majorHAnsi" w:cstheme="majorBidi"/>
          <w:b/>
          <w:bCs/>
          <w:color w:val="365F91" w:themeColor="accent1" w:themeShade="BF"/>
          <w:sz w:val="28"/>
          <w:szCs w:val="28"/>
        </w:rPr>
      </w:pPr>
      <w:r>
        <w:br w:type="page"/>
      </w:r>
    </w:p>
    <w:p w:rsidR="00B97F75" w:rsidRDefault="00B97F75" w:rsidP="00B97F75">
      <w:pPr>
        <w:pStyle w:val="berschrift1"/>
      </w:pPr>
      <w:r>
        <w:lastRenderedPageBreak/>
        <w:t>Wegsensoren</w:t>
      </w:r>
    </w:p>
    <w:p w:rsidR="00B97F75" w:rsidRPr="00B97F75" w:rsidRDefault="00B97F75" w:rsidP="00B97F75">
      <w:pPr>
        <w:rPr>
          <w:rFonts w:asciiTheme="majorHAnsi" w:hAnsiTheme="majorHAnsi"/>
          <w:b/>
          <w:bCs/>
          <w:iCs/>
        </w:rPr>
      </w:pPr>
      <w:r w:rsidRPr="00B97F75">
        <w:rPr>
          <w:rFonts w:asciiTheme="majorHAnsi" w:hAnsiTheme="majorHAnsi"/>
          <w:b/>
          <w:bCs/>
          <w:iCs/>
        </w:rPr>
        <w:t>L</w:t>
      </w:r>
      <w:r>
        <w:rPr>
          <w:rFonts w:asciiTheme="majorHAnsi" w:hAnsiTheme="majorHAnsi"/>
          <w:b/>
          <w:bCs/>
          <w:iCs/>
        </w:rPr>
        <w:t>inearpotenziometer</w:t>
      </w:r>
    </w:p>
    <w:p w:rsidR="00B97F75" w:rsidRPr="00B97F75" w:rsidRDefault="00B97F75" w:rsidP="00B97F75">
      <w:pPr>
        <w:rPr>
          <w:rFonts w:asciiTheme="majorHAnsi" w:hAnsiTheme="majorHAnsi"/>
          <w:noProof/>
        </w:rPr>
      </w:pPr>
      <w:r w:rsidRPr="00B97F75">
        <w:rPr>
          <w:rFonts w:asciiTheme="majorHAnsi" w:hAnsiTheme="majorHAnsi"/>
          <w:noProof/>
        </w:rPr>
        <w:t>Die Standardlinearpoten</w:t>
      </w:r>
      <w:r>
        <w:rPr>
          <w:rFonts w:asciiTheme="majorHAnsi" w:hAnsiTheme="majorHAnsi"/>
          <w:noProof/>
        </w:rPr>
        <w:t>z</w:t>
      </w:r>
      <w:r w:rsidRPr="00B97F75">
        <w:rPr>
          <w:rFonts w:asciiTheme="majorHAnsi" w:hAnsiTheme="majorHAnsi"/>
          <w:noProof/>
        </w:rPr>
        <w:t>iometer wurden für direkte Absolutmessungen</w:t>
      </w:r>
      <w:r>
        <w:rPr>
          <w:rFonts w:asciiTheme="majorHAnsi" w:hAnsiTheme="majorHAnsi"/>
          <w:noProof/>
        </w:rPr>
        <w:t xml:space="preserve"> </w:t>
      </w:r>
      <w:r w:rsidRPr="00B97F75">
        <w:rPr>
          <w:rFonts w:asciiTheme="majorHAnsi" w:hAnsiTheme="majorHAnsi"/>
          <w:noProof/>
        </w:rPr>
        <w:t>entwickelt und sind in Messbereichen bis zu</w:t>
      </w:r>
      <w:r>
        <w:rPr>
          <w:rFonts w:asciiTheme="majorHAnsi" w:hAnsiTheme="majorHAnsi"/>
          <w:noProof/>
        </w:rPr>
        <w:t xml:space="preserve"> </w:t>
      </w:r>
      <w:r w:rsidRPr="00B97F75">
        <w:rPr>
          <w:rFonts w:asciiTheme="majorHAnsi" w:hAnsiTheme="majorHAnsi"/>
          <w:noProof/>
        </w:rPr>
        <w:t>1</w:t>
      </w:r>
      <w:r>
        <w:rPr>
          <w:rFonts w:asciiTheme="majorHAnsi" w:hAnsiTheme="majorHAnsi"/>
          <w:noProof/>
        </w:rPr>
        <w:t>'</w:t>
      </w:r>
      <w:r w:rsidRPr="00B97F75">
        <w:rPr>
          <w:rFonts w:asciiTheme="majorHAnsi" w:hAnsiTheme="majorHAnsi"/>
          <w:noProof/>
        </w:rPr>
        <w:t>250</w:t>
      </w:r>
      <w:r>
        <w:rPr>
          <w:rFonts w:asciiTheme="majorHAnsi" w:hAnsiTheme="majorHAnsi"/>
          <w:noProof/>
        </w:rPr>
        <w:t> </w:t>
      </w:r>
      <w:r w:rsidRPr="00B97F75">
        <w:rPr>
          <w:rFonts w:asciiTheme="majorHAnsi" w:hAnsiTheme="majorHAnsi"/>
          <w:noProof/>
        </w:rPr>
        <w:t xml:space="preserve">mm erhältlich </w:t>
      </w:r>
      <w:r>
        <w:rPr>
          <w:rFonts w:asciiTheme="majorHAnsi" w:hAnsiTheme="majorHAnsi"/>
          <w:noProof/>
        </w:rPr>
        <w:t>und direkt im mechanischen System montierbar</w:t>
      </w:r>
      <w:r w:rsidRPr="00B97F75">
        <w:rPr>
          <w:rFonts w:asciiTheme="majorHAnsi" w:hAnsiTheme="majorHAnsi"/>
          <w:noProof/>
        </w:rPr>
        <w:t>. Sie haben eine hervorragende Auflösung</w:t>
      </w:r>
      <w:r>
        <w:rPr>
          <w:rFonts w:asciiTheme="majorHAnsi" w:hAnsiTheme="majorHAnsi"/>
          <w:noProof/>
        </w:rPr>
        <w:t xml:space="preserve"> </w:t>
      </w:r>
      <w:r w:rsidRPr="00B97F75">
        <w:rPr>
          <w:rFonts w:asciiTheme="majorHAnsi" w:hAnsiTheme="majorHAnsi"/>
          <w:noProof/>
        </w:rPr>
        <w:t>mit einer Wiederholbarkeit von ±0,01</w:t>
      </w:r>
      <w:r>
        <w:rPr>
          <w:rFonts w:asciiTheme="majorHAnsi" w:hAnsiTheme="majorHAnsi"/>
          <w:noProof/>
        </w:rPr>
        <w:t> </w:t>
      </w:r>
      <w:r w:rsidRPr="00B97F75">
        <w:rPr>
          <w:rFonts w:asciiTheme="majorHAnsi" w:hAnsiTheme="majorHAnsi"/>
          <w:noProof/>
        </w:rPr>
        <w:t>mm und einer exzellenten</w:t>
      </w:r>
      <w:r>
        <w:rPr>
          <w:rFonts w:asciiTheme="majorHAnsi" w:hAnsiTheme="majorHAnsi"/>
          <w:noProof/>
        </w:rPr>
        <w:t xml:space="preserve"> </w:t>
      </w:r>
      <w:r w:rsidRPr="00B97F75">
        <w:rPr>
          <w:rFonts w:asciiTheme="majorHAnsi" w:hAnsiTheme="majorHAnsi"/>
          <w:noProof/>
        </w:rPr>
        <w:t>Linearität von ±0,05%. Der Edelstahl-Schaft</w:t>
      </w:r>
      <w:r>
        <w:rPr>
          <w:rFonts w:asciiTheme="majorHAnsi" w:hAnsiTheme="majorHAnsi"/>
          <w:noProof/>
        </w:rPr>
        <w:t xml:space="preserve"> </w:t>
      </w:r>
      <w:r w:rsidRPr="00B97F75">
        <w:rPr>
          <w:rFonts w:asciiTheme="majorHAnsi" w:hAnsiTheme="majorHAnsi"/>
          <w:noProof/>
        </w:rPr>
        <w:t>der KTC-Serie hat ein langes Lager im Gehäuse, das einen</w:t>
      </w:r>
      <w:r>
        <w:rPr>
          <w:rFonts w:asciiTheme="majorHAnsi" w:hAnsiTheme="majorHAnsi"/>
          <w:noProof/>
        </w:rPr>
        <w:t xml:space="preserve"> </w:t>
      </w:r>
      <w:r w:rsidRPr="00B97F75">
        <w:rPr>
          <w:rFonts w:asciiTheme="majorHAnsi" w:hAnsiTheme="majorHAnsi"/>
          <w:noProof/>
        </w:rPr>
        <w:t>robusten und leichtgängigen Betrieb bei hoher Lebensdauer</w:t>
      </w:r>
      <w:r>
        <w:rPr>
          <w:rFonts w:asciiTheme="majorHAnsi" w:hAnsiTheme="majorHAnsi"/>
          <w:noProof/>
        </w:rPr>
        <w:t xml:space="preserve"> </w:t>
      </w:r>
      <w:r w:rsidRPr="00B97F75">
        <w:rPr>
          <w:rFonts w:asciiTheme="majorHAnsi" w:hAnsiTheme="majorHAnsi"/>
          <w:noProof/>
        </w:rPr>
        <w:t>gewährleistet. Der Schleifer hat eine Kugelkupplung, die die</w:t>
      </w:r>
      <w:r>
        <w:rPr>
          <w:rFonts w:asciiTheme="majorHAnsi" w:hAnsiTheme="majorHAnsi"/>
          <w:noProof/>
        </w:rPr>
        <w:t xml:space="preserve"> </w:t>
      </w:r>
      <w:r w:rsidRPr="00B97F75">
        <w:rPr>
          <w:rFonts w:asciiTheme="majorHAnsi" w:hAnsiTheme="majorHAnsi"/>
          <w:noProof/>
        </w:rPr>
        <w:t>Auswirkung der Schaftbewegung auf den Schleifer reduziert und</w:t>
      </w:r>
      <w:r>
        <w:rPr>
          <w:rFonts w:asciiTheme="majorHAnsi" w:hAnsiTheme="majorHAnsi"/>
          <w:noProof/>
        </w:rPr>
        <w:t xml:space="preserve"> </w:t>
      </w:r>
      <w:r w:rsidRPr="00B97F75">
        <w:rPr>
          <w:rFonts w:asciiTheme="majorHAnsi" w:hAnsiTheme="majorHAnsi"/>
          <w:noProof/>
        </w:rPr>
        <w:t>somit Fehlstellungen ausschließt. Ein verbessertes Verfahren für</w:t>
      </w:r>
      <w:r>
        <w:rPr>
          <w:rFonts w:asciiTheme="majorHAnsi" w:hAnsiTheme="majorHAnsi"/>
          <w:noProof/>
        </w:rPr>
        <w:t xml:space="preserve"> </w:t>
      </w:r>
      <w:r w:rsidRPr="00B97F75">
        <w:rPr>
          <w:rFonts w:asciiTheme="majorHAnsi" w:hAnsiTheme="majorHAnsi"/>
          <w:noProof/>
        </w:rPr>
        <w:t>den Kontakt mit der Widerstandsbahn (Doppelanschnitt-Verfahren)</w:t>
      </w:r>
      <w:r>
        <w:rPr>
          <w:rFonts w:asciiTheme="majorHAnsi" w:hAnsiTheme="majorHAnsi"/>
          <w:noProof/>
        </w:rPr>
        <w:t xml:space="preserve"> </w:t>
      </w:r>
      <w:r w:rsidRPr="00B97F75">
        <w:rPr>
          <w:rFonts w:asciiTheme="majorHAnsi" w:hAnsiTheme="majorHAnsi"/>
          <w:noProof/>
        </w:rPr>
        <w:t>ermöglicht eine hohe Zuverlässigkeit und Linearität. Multifinger-Schleifer stabilisieren selbst unter schwierigsten Bedingungen</w:t>
      </w:r>
      <w:r>
        <w:rPr>
          <w:rFonts w:asciiTheme="majorHAnsi" w:hAnsiTheme="majorHAnsi"/>
          <w:noProof/>
        </w:rPr>
        <w:t xml:space="preserve"> </w:t>
      </w:r>
      <w:r w:rsidRPr="00B97F75">
        <w:rPr>
          <w:rFonts w:asciiTheme="majorHAnsi" w:hAnsiTheme="majorHAnsi"/>
          <w:noProof/>
        </w:rPr>
        <w:t>das Ausgangssign</w:t>
      </w:r>
      <w:r>
        <w:rPr>
          <w:rFonts w:asciiTheme="majorHAnsi" w:hAnsiTheme="majorHAnsi"/>
          <w:noProof/>
        </w:rPr>
        <w:t>al. Die Montagefüss</w:t>
      </w:r>
      <w:r w:rsidRPr="00B97F75">
        <w:rPr>
          <w:rFonts w:asciiTheme="majorHAnsi" w:hAnsiTheme="majorHAnsi"/>
          <w:noProof/>
        </w:rPr>
        <w:t>e sind auf die gewünschte</w:t>
      </w:r>
      <w:r>
        <w:rPr>
          <w:rFonts w:asciiTheme="majorHAnsi" w:hAnsiTheme="majorHAnsi"/>
          <w:noProof/>
        </w:rPr>
        <w:t xml:space="preserve"> </w:t>
      </w:r>
      <w:r w:rsidRPr="00B97F75">
        <w:rPr>
          <w:rFonts w:asciiTheme="majorHAnsi" w:hAnsiTheme="majorHAnsi"/>
          <w:noProof/>
        </w:rPr>
        <w:t>Positionen einstellbar.</w:t>
      </w:r>
    </w:p>
    <w:p w:rsidR="00B97F75" w:rsidRDefault="00B97F75" w:rsidP="00B97F75">
      <w:pPr>
        <w:rPr>
          <w:rFonts w:asciiTheme="majorHAnsi" w:hAnsiTheme="majorHAnsi"/>
          <w:b/>
          <w:bCs/>
          <w:noProof/>
        </w:rPr>
      </w:pPr>
    </w:p>
    <w:p w:rsidR="00B97F75" w:rsidRPr="00B97F75" w:rsidRDefault="006B2799" w:rsidP="006B2799">
      <w:pPr>
        <w:numPr>
          <w:ilvl w:val="0"/>
          <w:numId w:val="2"/>
        </w:numPr>
        <w:jc w:val="left"/>
        <w:rPr>
          <w:rFonts w:asciiTheme="majorHAnsi" w:hAnsiTheme="majorHAnsi"/>
          <w:noProof/>
        </w:rPr>
      </w:pPr>
      <w:r>
        <w:rPr>
          <w:rFonts w:asciiTheme="majorHAnsi" w:hAnsiTheme="majorHAnsi"/>
          <w:noProof/>
          <w:lang w:val="de-DE" w:eastAsia="de-DE"/>
        </w:rPr>
        <w:drawing>
          <wp:anchor distT="0" distB="0" distL="114300" distR="114300" simplePos="0" relativeHeight="251658240" behindDoc="0" locked="1" layoutInCell="1" allowOverlap="1">
            <wp:simplePos x="0" y="0"/>
            <wp:positionH relativeFrom="column">
              <wp:posOffset>3125470</wp:posOffset>
            </wp:positionH>
            <wp:positionV relativeFrom="paragraph">
              <wp:posOffset>53340</wp:posOffset>
            </wp:positionV>
            <wp:extent cx="2695575" cy="1857375"/>
            <wp:effectExtent l="19050" t="0" r="9525" b="0"/>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695575" cy="1857375"/>
                    </a:xfrm>
                    <a:prstGeom prst="rect">
                      <a:avLst/>
                    </a:prstGeom>
                    <a:noFill/>
                    <a:ln w="9525">
                      <a:noFill/>
                      <a:miter lim="800000"/>
                      <a:headEnd/>
                      <a:tailEnd/>
                    </a:ln>
                  </pic:spPr>
                </pic:pic>
              </a:graphicData>
            </a:graphic>
          </wp:anchor>
        </w:drawing>
      </w:r>
      <w:r w:rsidR="00B97F75" w:rsidRPr="00B97F75">
        <w:rPr>
          <w:rFonts w:asciiTheme="majorHAnsi" w:hAnsiTheme="majorHAnsi"/>
          <w:noProof/>
        </w:rPr>
        <w:t>langlebige Lager und Schleifer</w:t>
      </w:r>
    </w:p>
    <w:p w:rsidR="00B97F75" w:rsidRPr="00B97F75" w:rsidRDefault="00B97F75" w:rsidP="006B2799">
      <w:pPr>
        <w:numPr>
          <w:ilvl w:val="0"/>
          <w:numId w:val="2"/>
        </w:numPr>
        <w:jc w:val="left"/>
        <w:rPr>
          <w:rFonts w:asciiTheme="majorHAnsi" w:hAnsiTheme="majorHAnsi"/>
          <w:noProof/>
        </w:rPr>
      </w:pPr>
      <w:r w:rsidRPr="00B97F75">
        <w:rPr>
          <w:rFonts w:asciiTheme="majorHAnsi" w:hAnsiTheme="majorHAnsi"/>
          <w:noProof/>
        </w:rPr>
        <w:t>störungsfreier Leitplastikspur-Ausgang</w:t>
      </w:r>
    </w:p>
    <w:p w:rsidR="00B97F75" w:rsidRPr="00B97F75" w:rsidRDefault="00B97F75" w:rsidP="006B2799">
      <w:pPr>
        <w:numPr>
          <w:ilvl w:val="0"/>
          <w:numId w:val="2"/>
        </w:numPr>
        <w:jc w:val="left"/>
        <w:rPr>
          <w:rFonts w:asciiTheme="majorHAnsi" w:hAnsiTheme="majorHAnsi"/>
          <w:noProof/>
        </w:rPr>
      </w:pPr>
      <w:r>
        <w:rPr>
          <w:rFonts w:asciiTheme="majorHAnsi" w:hAnsiTheme="majorHAnsi"/>
          <w:noProof/>
        </w:rPr>
        <w:t>l</w:t>
      </w:r>
      <w:r w:rsidRPr="00B97F75">
        <w:rPr>
          <w:rFonts w:asciiTheme="majorHAnsi" w:hAnsiTheme="majorHAnsi"/>
          <w:noProof/>
        </w:rPr>
        <w:t>ange Lebensdauer</w:t>
      </w:r>
    </w:p>
    <w:p w:rsidR="00B97F75" w:rsidRPr="00B97F75" w:rsidRDefault="00B97F75" w:rsidP="006B2799">
      <w:pPr>
        <w:numPr>
          <w:ilvl w:val="0"/>
          <w:numId w:val="2"/>
        </w:numPr>
        <w:jc w:val="left"/>
        <w:rPr>
          <w:rFonts w:asciiTheme="majorHAnsi" w:hAnsiTheme="majorHAnsi"/>
          <w:noProof/>
        </w:rPr>
      </w:pPr>
      <w:r w:rsidRPr="00B97F75">
        <w:rPr>
          <w:rFonts w:asciiTheme="majorHAnsi" w:hAnsiTheme="majorHAnsi"/>
          <w:noProof/>
        </w:rPr>
        <w:t>robust</w:t>
      </w:r>
    </w:p>
    <w:p w:rsidR="00B97F75" w:rsidRPr="00B97F75" w:rsidRDefault="00B97F75" w:rsidP="006B2799">
      <w:pPr>
        <w:numPr>
          <w:ilvl w:val="0"/>
          <w:numId w:val="2"/>
        </w:numPr>
        <w:jc w:val="left"/>
        <w:rPr>
          <w:rFonts w:asciiTheme="majorHAnsi" w:hAnsiTheme="majorHAnsi"/>
          <w:noProof/>
        </w:rPr>
      </w:pPr>
      <w:r w:rsidRPr="00B97F75">
        <w:rPr>
          <w:rFonts w:asciiTheme="majorHAnsi" w:hAnsiTheme="majorHAnsi"/>
          <w:noProof/>
        </w:rPr>
        <w:t>hohe Genauigkeit und Auflösung</w:t>
      </w:r>
    </w:p>
    <w:p w:rsidR="00B97F75" w:rsidRPr="00B97F75" w:rsidRDefault="00B97F75" w:rsidP="006B2799">
      <w:pPr>
        <w:jc w:val="left"/>
        <w:rPr>
          <w:rFonts w:asciiTheme="majorHAnsi" w:hAnsiTheme="majorHAnsi"/>
          <w:b/>
          <w:bCs/>
          <w:noProof/>
        </w:rPr>
      </w:pPr>
      <w:r w:rsidRPr="00B97F75">
        <w:rPr>
          <w:rFonts w:asciiTheme="majorHAnsi" w:hAnsiTheme="majorHAnsi"/>
          <w:b/>
          <w:bCs/>
          <w:noProof/>
        </w:rPr>
        <w:t>mechanische Eigenschaften</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noProof/>
        </w:rPr>
        <w:t>Messbereich:</w:t>
      </w:r>
      <w:r w:rsidRPr="006B2799">
        <w:rPr>
          <w:rFonts w:asciiTheme="majorHAnsi" w:hAnsiTheme="majorHAnsi"/>
        </w:rPr>
        <w:t xml:space="preserve"> 50 bis 1.250 mm</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Schutzklasse: IP60</w:t>
      </w:r>
      <w:r w:rsidR="006B2799">
        <w:rPr>
          <w:rFonts w:asciiTheme="majorHAnsi" w:hAnsiTheme="majorHAnsi"/>
        </w:rPr>
        <w:t xml:space="preserve">, </w:t>
      </w:r>
      <w:r w:rsidRPr="006B2799">
        <w:rPr>
          <w:rFonts w:asciiTheme="majorHAnsi" w:hAnsiTheme="majorHAnsi"/>
        </w:rPr>
        <w:t>IP65</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Vibration: IEC 68-2-6:1982 10 g</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Schock: IEC 68-2-29:1968 40 g</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Lebensdauer: &gt; 100 x 106 Zyklen</w:t>
      </w:r>
      <w:r w:rsidR="006B2799">
        <w:rPr>
          <w:rFonts w:asciiTheme="majorHAnsi" w:hAnsiTheme="majorHAnsi"/>
        </w:rPr>
        <w:t xml:space="preserve"> </w:t>
      </w:r>
      <w:r w:rsidR="006B2799">
        <w:rPr>
          <w:rFonts w:asciiTheme="majorHAnsi" w:hAnsiTheme="majorHAnsi"/>
        </w:rPr>
        <w:br/>
      </w:r>
      <w:r w:rsidR="006B2799" w:rsidRPr="006B2799">
        <w:rPr>
          <w:rFonts w:asciiTheme="majorHAnsi" w:hAnsiTheme="majorHAnsi"/>
        </w:rPr>
        <w:t>&gt;</w:t>
      </w:r>
      <w:r w:rsidRPr="006B2799">
        <w:rPr>
          <w:rFonts w:asciiTheme="majorHAnsi" w:hAnsiTheme="majorHAnsi"/>
        </w:rPr>
        <w:t>25 x 106 m</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Geschwindigkeit: 10 m/s max.</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Betätigungskraft: ≤ 2 N</w:t>
      </w:r>
    </w:p>
    <w:p w:rsidR="00B97F75" w:rsidRPr="006B2799" w:rsidRDefault="006B2799" w:rsidP="006B2799">
      <w:pPr>
        <w:pStyle w:val="Listenabsatz"/>
        <w:numPr>
          <w:ilvl w:val="0"/>
          <w:numId w:val="3"/>
        </w:numPr>
        <w:jc w:val="left"/>
        <w:rPr>
          <w:rFonts w:asciiTheme="majorHAnsi" w:hAnsiTheme="majorHAnsi"/>
        </w:rPr>
      </w:pPr>
      <w:r>
        <w:rPr>
          <w:rFonts w:asciiTheme="majorHAnsi" w:hAnsiTheme="majorHAnsi"/>
        </w:rPr>
        <w:t>Ni</w:t>
      </w:r>
      <w:r w:rsidR="00B97F75" w:rsidRPr="006B2799">
        <w:rPr>
          <w:rFonts w:asciiTheme="majorHAnsi" w:hAnsiTheme="majorHAnsi"/>
        </w:rPr>
        <w:t>chtlinearität: ±0,05%</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Wiederholbarkeit: ±0,01 mm</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Auflösung: unendlich</w:t>
      </w:r>
    </w:p>
    <w:p w:rsidR="00B97F75" w:rsidRPr="006B2799" w:rsidRDefault="00B97F75" w:rsidP="006B2799">
      <w:pPr>
        <w:jc w:val="left"/>
        <w:rPr>
          <w:rFonts w:asciiTheme="majorHAnsi" w:hAnsiTheme="majorHAnsi"/>
          <w:b/>
          <w:bCs/>
        </w:rPr>
      </w:pPr>
      <w:r w:rsidRPr="006B2799">
        <w:rPr>
          <w:rFonts w:asciiTheme="majorHAnsi" w:hAnsiTheme="majorHAnsi"/>
          <w:b/>
          <w:bCs/>
        </w:rPr>
        <w:t>elektrische Eigenschaften</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Strom Widerstand: ≤ 10 mA</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Schleifer: ≤ 1 mA</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Stromverbrauch: 3 W – 10 W</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Ausgangsripple: &lt; ±0,1% von der Speisung</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max. Spannung: 60 V</w:t>
      </w:r>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 xml:space="preserve">Isolierungsspannung: 500 V – 1 min. Rest &lt; 5 </w:t>
      </w:r>
      <w:proofErr w:type="spellStart"/>
      <w:r w:rsidRPr="006B2799">
        <w:rPr>
          <w:rFonts w:asciiTheme="majorHAnsi" w:hAnsiTheme="majorHAnsi"/>
        </w:rPr>
        <w:t>μA</w:t>
      </w:r>
      <w:proofErr w:type="spellEnd"/>
    </w:p>
    <w:p w:rsidR="00B97F75" w:rsidRPr="006B2799" w:rsidRDefault="00B97F75" w:rsidP="006B2799">
      <w:pPr>
        <w:pStyle w:val="Listenabsatz"/>
        <w:numPr>
          <w:ilvl w:val="0"/>
          <w:numId w:val="3"/>
        </w:numPr>
        <w:jc w:val="left"/>
        <w:rPr>
          <w:rFonts w:asciiTheme="majorHAnsi" w:hAnsiTheme="majorHAnsi"/>
        </w:rPr>
      </w:pPr>
      <w:r w:rsidRPr="006B2799">
        <w:rPr>
          <w:rFonts w:asciiTheme="majorHAnsi" w:hAnsiTheme="majorHAnsi"/>
        </w:rPr>
        <w:t>elektrischer Anschluss: Stecker DIN 43650 ISO 4400</w:t>
      </w:r>
    </w:p>
    <w:p w:rsidR="00B97F75" w:rsidRPr="00B97F75" w:rsidRDefault="00B97F75" w:rsidP="006B2799">
      <w:pPr>
        <w:jc w:val="left"/>
        <w:rPr>
          <w:rFonts w:asciiTheme="majorHAnsi" w:hAnsiTheme="majorHAnsi"/>
          <w:b/>
          <w:bCs/>
        </w:rPr>
      </w:pPr>
      <w:r w:rsidRPr="00B97F75">
        <w:rPr>
          <w:rFonts w:asciiTheme="majorHAnsi" w:hAnsiTheme="majorHAnsi"/>
          <w:b/>
          <w:bCs/>
        </w:rPr>
        <w:t>thermische Eigenschaften</w:t>
      </w:r>
    </w:p>
    <w:p w:rsidR="00B97F75" w:rsidRPr="006B2799" w:rsidRDefault="00B97F75" w:rsidP="006B2799">
      <w:pPr>
        <w:pStyle w:val="Listenabsatz"/>
        <w:numPr>
          <w:ilvl w:val="0"/>
          <w:numId w:val="4"/>
        </w:numPr>
        <w:jc w:val="left"/>
        <w:rPr>
          <w:rFonts w:asciiTheme="majorHAnsi" w:hAnsiTheme="majorHAnsi"/>
        </w:rPr>
      </w:pPr>
      <w:r w:rsidRPr="006B2799">
        <w:rPr>
          <w:rFonts w:asciiTheme="majorHAnsi" w:hAnsiTheme="majorHAnsi"/>
        </w:rPr>
        <w:t>Betriebstemperaturbereich: -30 bis +100 °C</w:t>
      </w:r>
    </w:p>
    <w:p w:rsidR="00B97F75" w:rsidRPr="002D1DBB" w:rsidRDefault="00B97F75" w:rsidP="00B97F75">
      <w:pPr>
        <w:rPr>
          <w:rFonts w:asciiTheme="majorHAnsi" w:hAnsiTheme="majorHAnsi"/>
        </w:rPr>
      </w:pPr>
    </w:p>
    <w:sectPr w:rsidR="00B97F75" w:rsidRPr="002D1DBB" w:rsidSect="00FC3EF4">
      <w:pgSz w:w="11906" w:h="16838"/>
      <w:pgMar w:top="1418" w:right="1134" w:bottom="1134"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D7DA2"/>
    <w:multiLevelType w:val="multilevel"/>
    <w:tmpl w:val="22CE92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2024CE"/>
    <w:multiLevelType w:val="hybridMultilevel"/>
    <w:tmpl w:val="5510B0A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46DA570E"/>
    <w:multiLevelType w:val="hybridMultilevel"/>
    <w:tmpl w:val="098C913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652B7CB0"/>
    <w:multiLevelType w:val="hybridMultilevel"/>
    <w:tmpl w:val="4072AE2A"/>
    <w:lvl w:ilvl="0" w:tplc="08070005">
      <w:start w:val="1"/>
      <w:numFmt w:val="bullet"/>
      <w:lvlText w:val=""/>
      <w:lvlJc w:val="left"/>
      <w:pPr>
        <w:ind w:left="720" w:hanging="360"/>
      </w:pPr>
      <w:rPr>
        <w:rFonts w:ascii="Wingdings" w:hAnsi="Wingdings" w:hint="default"/>
      </w:rPr>
    </w:lvl>
    <w:lvl w:ilvl="1" w:tplc="366C13DA">
      <w:numFmt w:val="bullet"/>
      <w:lvlText w:val=""/>
      <w:lvlJc w:val="left"/>
      <w:pPr>
        <w:ind w:left="1440" w:hanging="360"/>
      </w:pPr>
      <w:rPr>
        <w:rFonts w:ascii="Wingdings" w:eastAsiaTheme="minorHAnsi" w:hAnsi="Wingdings" w:cstheme="minorBidi"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76DC203E"/>
    <w:multiLevelType w:val="hybridMultilevel"/>
    <w:tmpl w:val="2DDCB2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75"/>
    <w:rsid w:val="00083851"/>
    <w:rsid w:val="000866F5"/>
    <w:rsid w:val="000A420D"/>
    <w:rsid w:val="00112427"/>
    <w:rsid w:val="001E16F2"/>
    <w:rsid w:val="002D1DBB"/>
    <w:rsid w:val="003569A3"/>
    <w:rsid w:val="003906B6"/>
    <w:rsid w:val="004542F0"/>
    <w:rsid w:val="004B721B"/>
    <w:rsid w:val="00544CD5"/>
    <w:rsid w:val="005B1BD8"/>
    <w:rsid w:val="00643D68"/>
    <w:rsid w:val="006B2799"/>
    <w:rsid w:val="00874960"/>
    <w:rsid w:val="008A5DEF"/>
    <w:rsid w:val="008F26B5"/>
    <w:rsid w:val="009B6056"/>
    <w:rsid w:val="009C2352"/>
    <w:rsid w:val="009E53C5"/>
    <w:rsid w:val="00A05245"/>
    <w:rsid w:val="00A15C25"/>
    <w:rsid w:val="00B97F75"/>
    <w:rsid w:val="00C119FA"/>
    <w:rsid w:val="00F2090D"/>
    <w:rsid w:val="00FC3EF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E3844"/>
  <w15:docId w15:val="{A346FCA3-72E8-4BAB-A219-635A4C58E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line="480" w:lineRule="auto"/>
        <w:ind w:left="284" w:right="249"/>
        <w:jc w:val="both"/>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rd">
    <w:name w:val="Normal"/>
    <w:qFormat/>
    <w:rsid w:val="00643D68"/>
    <w:pPr>
      <w:spacing w:line="240" w:lineRule="auto"/>
      <w:ind w:left="0" w:right="0"/>
    </w:pPr>
  </w:style>
  <w:style w:type="paragraph" w:styleId="berschrift1">
    <w:name w:val="heading 1"/>
    <w:basedOn w:val="Standard"/>
    <w:next w:val="Standard"/>
    <w:link w:val="berschrift1Zchn"/>
    <w:uiPriority w:val="9"/>
    <w:qFormat/>
    <w:rsid w:val="009B6056"/>
    <w:pPr>
      <w:keepNext/>
      <w:keepLines/>
      <w:spacing w:after="2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9B6056"/>
    <w:pPr>
      <w:keepNext/>
      <w:keepLines/>
      <w:spacing w:after="12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6056"/>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9B6056"/>
    <w:rPr>
      <w:rFonts w:asciiTheme="majorHAnsi" w:eastAsiaTheme="majorEastAsia" w:hAnsiTheme="majorHAnsi" w:cstheme="majorBidi"/>
      <w:b/>
      <w:bCs/>
      <w:color w:val="4F81BD" w:themeColor="accent1"/>
      <w:sz w:val="26"/>
      <w:szCs w:val="26"/>
    </w:rPr>
  </w:style>
  <w:style w:type="paragraph" w:styleId="Listenabsatz">
    <w:name w:val="List Paragraph"/>
    <w:basedOn w:val="Standard"/>
    <w:uiPriority w:val="34"/>
    <w:qFormat/>
    <w:rsid w:val="00B97F75"/>
    <w:pPr>
      <w:ind w:left="720"/>
      <w:contextualSpacing/>
    </w:pPr>
  </w:style>
  <w:style w:type="paragraph" w:styleId="Dokumentstruktur">
    <w:name w:val="Document Map"/>
    <w:basedOn w:val="Standard"/>
    <w:link w:val="DokumentstrukturZchn"/>
    <w:uiPriority w:val="99"/>
    <w:semiHidden/>
    <w:unhideWhenUsed/>
    <w:rsid w:val="00B97F75"/>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B97F75"/>
    <w:rPr>
      <w:rFonts w:ascii="Tahoma" w:hAnsi="Tahoma" w:cs="Tahoma"/>
      <w:sz w:val="16"/>
      <w:szCs w:val="16"/>
    </w:rPr>
  </w:style>
  <w:style w:type="table" w:styleId="Tabellenraster">
    <w:name w:val="Table Grid"/>
    <w:basedOn w:val="NormaleTabelle"/>
    <w:uiPriority w:val="59"/>
    <w:rsid w:val="000A420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A420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A42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2236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Gächter</dc:creator>
  <cp:lastModifiedBy>Esther Wyss</cp:lastModifiedBy>
  <cp:revision>6</cp:revision>
  <dcterms:created xsi:type="dcterms:W3CDTF">2010-08-19T08:29:00Z</dcterms:created>
  <dcterms:modified xsi:type="dcterms:W3CDTF">2016-06-10T08:29:00Z</dcterms:modified>
  <cp:category>SIZ 322</cp:category>
</cp:coreProperties>
</file>